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A7" w:rsidRDefault="00F708A7" w:rsidP="00F708A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0C1587" w:rsidRPr="000C1587" w:rsidRDefault="000C1587" w:rsidP="000C1587">
      <w:pPr>
        <w:shd w:val="clear" w:color="auto" w:fill="FFFFFF"/>
        <w:spacing w:after="0" w:line="38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181818"/>
          <w:sz w:val="32"/>
          <w:szCs w:val="32"/>
          <w:lang w:eastAsia="ru-RU"/>
        </w:rPr>
        <w:t>Урок-лекция по обзорной теме в 11-м классе по теме: "Конец века, или Русский Ренессанс"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181818"/>
          <w:sz w:val="20"/>
          <w:szCs w:val="20"/>
          <w:lang w:eastAsia="ru-RU"/>
        </w:rPr>
        <w:t>Россия – Сфинкс! Ликуя и скорбя,</w:t>
      </w:r>
      <w:r w:rsidRPr="000C1587">
        <w:rPr>
          <w:rFonts w:ascii="Helvetica" w:eastAsia="Times New Roman" w:hAnsi="Helvetica" w:cs="Helvetica"/>
          <w:color w:val="181818"/>
          <w:sz w:val="20"/>
          <w:szCs w:val="20"/>
          <w:lang w:eastAsia="ru-RU"/>
        </w:rPr>
        <w:br/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обливаясь черной кровью,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глядит, глядит в тебя</w:t>
      </w:r>
      <w:proofErr w:type="gram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ненавистью, и с любовью!..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А.Блок</w:t>
      </w:r>
      <w:proofErr w:type="spellEnd"/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будем говорить о самом противоречивом, сложном периоде в истории России – о конце XIX – начале XX вв. Мы не ставим целью перечислить глобальные изменения во всех сферах жизни страны. Главное – почувствовать дух времени, лицо века. Переход от века к веку – в этом есть какая-то магия и загадка. И оно не только в событиях и именах. Можно ли почувствовать восторг и боль, мечты и разочарования этого времени?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Вселенский огонь охватил многие страны мира на рубеже веков: важнейшие перемены в странах Европы и США, невиданная безработица среди рабочих, экономический кризис охватил всю Европу. Эхо мирового кризиса, невиданных потрясений скоро настигло и нашу страну. “Огненной Россией” назвал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А.Ремизов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 время предельной напряженности и трагичности.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Какие события в истории России этого периода вы можете назвать?</w:t>
      </w:r>
    </w:p>
    <w:p w:rsidR="000C1587" w:rsidRPr="000C1587" w:rsidRDefault="000C1587" w:rsidP="000C1587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Русско-японская война 1904-1905-гг.</w:t>
      </w:r>
    </w:p>
    <w:p w:rsidR="000C1587" w:rsidRPr="000C1587" w:rsidRDefault="000C1587" w:rsidP="000C1587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Первая буржуазно-демократическая революция в 1905 году.</w:t>
      </w:r>
    </w:p>
    <w:p w:rsidR="000C1587" w:rsidRPr="000C1587" w:rsidRDefault="000C1587" w:rsidP="000C1587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Февральская революция в 1917 году. Начало катастрофы.</w:t>
      </w:r>
    </w:p>
    <w:p w:rsidR="000C1587" w:rsidRPr="000C1587" w:rsidRDefault="000C1587" w:rsidP="000C1587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Гражданская война 1919-1921 годов. Война, открывающая одну из самых кровавых страниц российской истории.</w:t>
      </w:r>
    </w:p>
    <w:p w:rsidR="000C1587" w:rsidRPr="000C1587" w:rsidRDefault="000C1587" w:rsidP="000C1587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Первая мировая война 1914-1919 годов. Война, которая по жестокости и числу жертв, превзошла все предыдущие войны.</w:t>
      </w:r>
    </w:p>
    <w:p w:rsidR="000C1587" w:rsidRPr="000C1587" w:rsidRDefault="000C1587" w:rsidP="000C1587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Октябрьская революция 1917 года. Страна рухнула в пропасть, прервались вековые традиции.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Эти события изменили жизнь каждого человека. Новая Россия как Сфинкс, вызывая ужас и трепет, встала перед миром.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Свершались революции, гремел войны, менялась власть...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Лексическая работа. 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Ренессанс (от </w:t>
      </w:r>
      <w:hyperlink r:id="rId6" w:history="1">
        <w:r w:rsidRPr="000C1587">
          <w:rPr>
            <w:rFonts w:ascii="Helvetica" w:eastAsia="Times New Roman" w:hAnsi="Helvetica" w:cs="Helvetica"/>
            <w:i/>
            <w:iCs/>
            <w:color w:val="267F8C"/>
            <w:sz w:val="20"/>
            <w:szCs w:val="20"/>
            <w:lang w:eastAsia="ru-RU"/>
          </w:rPr>
          <w:t>франц</w:t>
        </w:r>
      </w:hyperlink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 </w:t>
      </w:r>
      <w:proofErr w:type="spellStart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Renaissance</w:t>
      </w:r>
      <w:proofErr w:type="spellEnd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0C1587" w:rsidRPr="000C1587" w:rsidRDefault="000C1587" w:rsidP="000C1587">
      <w:pPr>
        <w:numPr>
          <w:ilvl w:val="0"/>
          <w:numId w:val="4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Период бурного расцвета науки и искусства в ряде стран Европы, наступивший после средневековья и породивший жизнеутверждающее, гуманистическое мировоззрение, создавший замечательные образцы реалистического искусства; Возрождение.</w:t>
      </w:r>
    </w:p>
    <w:p w:rsidR="000C1587" w:rsidRPr="000C1587" w:rsidRDefault="000C1587" w:rsidP="000C1587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разг. Эпоха расцвета, подъема в развитии науки и искусства какой-л. страны.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“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Серебряный век” - одно из проявлений духовного и художественного ренессанса в русской культуре конца XIX - начала XX вв. Совпавший с господством стиля модерн в других областях искусства – живописи, архитектуры, дизайне и т.д., он представлен в поэзии плеядой “мэтров” символизма: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Д.С.Мережковский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К.Д.Бальмонт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В.Я.Брюсов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Ф.Сологуб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З.Н.Гиппиус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И.Ф.Анненский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В.Иванов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Андрей Белый,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А.А.Блок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М.А.Волошин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Каждый из названных поэтов создал в рамках этого направления свой индивидуальный художественный стиль и внес свою лепту в литературу. Понятие “серебряный век” появилось, когда все крупнейшие представители той литературы и культуры ушли из жизни. Их современники использовали, как правило, другие термины, один из которых “модернизм” (от французского слова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moderne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“современный”). Термин достаточно точно передавал заложенную в литературе серебряного века идею создания новой литературы по отношению к литературе классической.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Сообщение о декадансе в живописи на примере картин </w:t>
      </w:r>
      <w:proofErr w:type="spellStart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Э.Мунка</w:t>
      </w:r>
      <w:proofErr w:type="spellEnd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«Крик» и «Черного квадрата» </w:t>
      </w:r>
      <w:proofErr w:type="spellStart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К.Малевича</w:t>
      </w:r>
      <w:proofErr w:type="spellEnd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0C1587" w:rsidRPr="000C1587" w:rsidRDefault="000C1587" w:rsidP="000C15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color w:val="393838"/>
          <w:lang w:eastAsia="ru-RU"/>
        </w:rPr>
        <w:t>Сам Мунк, объясняя замысел картины, признался, что изобразил "крик природы". "Я шел по дороге с друзьями. Садилось солнце. Небо стало кроваво-красным. Меня охватила тоска. Я стоял смертельно усталый на фоне темной синевы. Фьорд и город повисли в огненных языках пламени. Я отстал от друзей. Дрожа от страха, я услышал крик природы", - эти слова выгравированы рукой художника на рамке, обрамляющей одно из полотен.</w:t>
      </w:r>
    </w:p>
    <w:p w:rsidR="000C1587" w:rsidRPr="000C1587" w:rsidRDefault="000C1587" w:rsidP="000C15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color w:val="393838"/>
          <w:lang w:eastAsia="ru-RU"/>
        </w:rPr>
        <w:lastRenderedPageBreak/>
        <w:t>Экзистенциальный ужас, пронзительный и панический - вот, что изображено на картине, утверждают искусствоведы. Он такой сильный, что буквально обрушивается на зрителя, который сам вдруг превращается в фигуру на переднем плане, закрывающую голову руками - чтобы защитить себя от "крика", реального или вымышленного.</w:t>
      </w:r>
    </w:p>
    <w:p w:rsidR="000C1587" w:rsidRPr="000C1587" w:rsidRDefault="000C1587" w:rsidP="000C1587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color w:val="393838"/>
          <w:lang w:eastAsia="ru-RU"/>
        </w:rPr>
        <w:t>Некоторые склонны видеть в "Крике" пророчество. Мунк в своих работах предрек 20-й век с его двумя мировыми войнами, холокостом, экологическими катастрофами и ядерным оружием.</w:t>
      </w:r>
    </w:p>
    <w:p w:rsidR="000C1587" w:rsidRPr="000C1587" w:rsidRDefault="000C1587" w:rsidP="000C158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Чёрный квадрат</w:t>
      </w:r>
      <w:r w:rsidRPr="000C1587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— </w:t>
      </w:r>
      <w:r w:rsidRPr="000C1587">
        <w:rPr>
          <w:rFonts w:ascii="Arial" w:eastAsia="Times New Roman" w:hAnsi="Arial" w:cs="Arial"/>
          <w:color w:val="171717"/>
          <w:sz w:val="20"/>
          <w:szCs w:val="20"/>
          <w:lang w:eastAsia="ru-RU"/>
        </w:rPr>
        <w:t>самая известная работа </w:t>
      </w:r>
      <w:hyperlink r:id="rId7" w:history="1">
        <w:r w:rsidRPr="000C1587">
          <w:rPr>
            <w:rFonts w:ascii="Arial" w:eastAsia="Times New Roman" w:hAnsi="Arial" w:cs="Arial"/>
            <w:color w:val="171717"/>
            <w:sz w:val="20"/>
            <w:szCs w:val="20"/>
            <w:lang w:eastAsia="ru-RU"/>
          </w:rPr>
          <w:t>Казимира Малевича</w:t>
        </w:r>
      </w:hyperlink>
      <w:r w:rsidRPr="000C1587">
        <w:rPr>
          <w:rFonts w:ascii="Arial" w:eastAsia="Times New Roman" w:hAnsi="Arial" w:cs="Arial"/>
          <w:color w:val="171717"/>
          <w:sz w:val="20"/>
          <w:szCs w:val="20"/>
          <w:lang w:eastAsia="ru-RU"/>
        </w:rPr>
        <w:t>, созданная в</w:t>
      </w:r>
      <w:hyperlink r:id="rId8" w:history="1">
        <w:r w:rsidRPr="000C1587">
          <w:rPr>
            <w:rFonts w:ascii="Arial" w:eastAsia="Times New Roman" w:hAnsi="Arial" w:cs="Arial"/>
            <w:color w:val="171717"/>
            <w:sz w:val="20"/>
            <w:szCs w:val="20"/>
            <w:lang w:eastAsia="ru-RU"/>
          </w:rPr>
          <w:t>1915 году</w:t>
        </w:r>
      </w:hyperlink>
      <w:r w:rsidRPr="000C1587">
        <w:rPr>
          <w:rFonts w:ascii="Arial" w:eastAsia="Times New Roman" w:hAnsi="Arial" w:cs="Arial"/>
          <w:color w:val="171717"/>
          <w:sz w:val="20"/>
          <w:szCs w:val="20"/>
          <w:lang w:eastAsia="ru-RU"/>
        </w:rPr>
        <w:t>, одна из самых обсуждаемых и самых известных картин в русском искусстве.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Словарная работа.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Модернизм (</w:t>
      </w:r>
      <w:hyperlink r:id="rId9" w:history="1">
        <w:r w:rsidRPr="000C1587">
          <w:rPr>
            <w:rFonts w:ascii="Helvetica" w:eastAsia="Times New Roman" w:hAnsi="Helvetica" w:cs="Helvetica"/>
            <w:color w:val="267F8C"/>
            <w:sz w:val="20"/>
            <w:szCs w:val="20"/>
            <w:lang w:eastAsia="ru-RU"/>
          </w:rPr>
          <w:t>лат</w:t>
        </w:r>
      </w:hyperlink>
      <w:hyperlink r:id="rId10" w:history="1">
        <w:r w:rsidRPr="000C1587">
          <w:rPr>
            <w:rFonts w:ascii="Helvetica" w:eastAsia="Times New Roman" w:hAnsi="Helvetica" w:cs="Helvetica"/>
            <w:color w:val="267F8C"/>
            <w:sz w:val="20"/>
            <w:szCs w:val="20"/>
            <w:lang w:eastAsia="ru-RU"/>
          </w:rPr>
          <w:t>.</w:t>
        </w:r>
      </w:hyperlink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spellStart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modernus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«современный, недавний»)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направление в </w:t>
      </w:r>
      <w:hyperlink r:id="rId11" w:history="1">
        <w:r w:rsidRPr="000C1587">
          <w:rPr>
            <w:rFonts w:ascii="Helvetica" w:eastAsia="Times New Roman" w:hAnsi="Helvetica" w:cs="Helvetica"/>
            <w:color w:val="267F8C"/>
            <w:sz w:val="20"/>
            <w:szCs w:val="20"/>
            <w:lang w:eastAsia="ru-RU"/>
          </w:rPr>
          <w:t>искусстве</w:t>
        </w:r>
      </w:hyperlink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конца XIX — начала XX века, характеризующееся:</w:t>
      </w:r>
    </w:p>
    <w:p w:rsidR="000C1587" w:rsidRPr="000C1587" w:rsidRDefault="000C1587" w:rsidP="000C1587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разрывом с предшествующим историческим опытом художественного творчества,</w:t>
      </w:r>
    </w:p>
    <w:p w:rsidR="000C1587" w:rsidRPr="000C1587" w:rsidRDefault="000C1587" w:rsidP="000C1587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стремлением утвердить новые, нетрадиционные начала в искусстве,</w:t>
      </w:r>
    </w:p>
    <w:p w:rsidR="000C1587" w:rsidRPr="000C1587" w:rsidRDefault="000C1587" w:rsidP="000C1587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непрерывным обновлением художественных форм, а также условностью стиля.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Русская философия серебряного века. “...Мрак есть начало света...”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чем-то человек новой эпохи был другой... В начале века происходит вымирание и вырождение “благороднейшего сословия” Российской империи. Менялись люди, менялись и кумиры.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Кумиром новой эпохи стал немецкий философ Фридрих Ницше. Ницше оказал огромное влияние на мыслителей Западной Европы, США и России. Противник христианства с его, как он говорил, “рабской моралью”, Ницше выдвинул идею “сверхчеловека”: “Бог умер! На смену ему пришел сверхчеловек!” Молодые умы будоражили эти лозунги, щекотали нервы, требовали иных поступков и действий!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Совершенно к иному призывали русские философы того времени: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Н.А.Бердяев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Е.Н.Трубецкой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П.А.Флоренский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С.Н.Булгаков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В.С.Соловьев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По словам Андрея Белого, именно В. Соловьев говорил, что “идеи Ницше – это единственное, с чем надо считаться как с глубокой опасностью, грозящей религиозной культуре”. Соловьев был убежден: истинная цель исторического процесса состоит в том, чтобы каждый стал подобным Христу, т.е. Богочеловеком. Пророком Града Божьего назвал Соловьева поэт Вячеслав Иванов. Философ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Н.Бердяев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также отмечал “пророческое значение” В. Соловьева. Звук пророческого рожка Соловьева был услышан всей русской культурой рубежа XIX-XX столетий. С этого звука по существу начинается вся русская литература серебряного века.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Какие духовные ценности провозглашались русскими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философами серебряного века?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Литература конца XIX – начала XX века. Модернизм на рубеже веков.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Литература – это и есть “образ мира, в слове явленный”. “Поэт – есть вселенная, да здравствует он, носящий в себе весь мир!” – восклицал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М.Горький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Поэзия стала полновластной царицей нового времени. По аналогии с золотым веком русской литературы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Н.Бердяев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назвал этот период “серебряным веком” русской поэзии. Русская поэзия переживает свое второе рождение, свой – Ренессанс!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Реализм уходил на периферию литературного процесса в России. Его вытеснили новые направления, вызванные модернизмом. Обратимся к схеме и рассмотрим их.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5F82784" wp14:editId="4C10E152">
            <wp:extent cx="1771015" cy="1210310"/>
            <wp:effectExtent l="0" t="0" r="635" b="8890"/>
            <wp:docPr id="1" name="Рисунок 1" descr="hello_html_5ea02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ea023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Впишите в схему представителей каждого течения.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Сообщени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</w:t>
      </w: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о символизме. “Тень несозданных созданий...”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 Франции, с середины XIX в., один за другим появляются крупные поэты: Шарль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Бодлер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Поль Верлен,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Артюр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Рембо, Стефан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Малларме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В 1886 году Жан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Мореас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опубликовал “Манифест символизма”. В России французских символистов знали плохо. Но когда восемнадцатилетний гимназист Валерий Брюсов прочел в 1892 году статью о них, то сразу почувствовал – здесь есть 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нечто интересное, что сможет привиться в русской почве. Молодой поэт намеренно стремился оглушить читателя, заставить его удивляться и негодовать. Например, стихотворением из одной строки: “О, закрой свои бледные ноги” (1894г.). Стихи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В.Брюсова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всколыхнули русскую поэзию. Что же значил символизм для Брюсова и его единомышленников? Прежде всего – новые темы. Новый язык. Кажущиеся бессмысленными стихотворения, странные выходки молодых поэтов вызывали негодование публики и газетчиков. Психиатры утверждали, что новая поэзия – симптом вырождения человечества, авторы, с нею связанные, не желают знать истинных проблем сегодняшней жизни, выдумывают свой, мало кому интересный мир. Символистам присвоили кличку “декаденты” (“упадочники”). Думали их уязвить, а они сделали кличку своим вторым именем. С точки зрения символистов, этот “упадок” значительно ценнее нормальной </w:t>
      </w:r>
      <w:proofErr w:type="gram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посредственности</w:t>
      </w:r>
      <w:proofErr w:type="gram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Чтение стихотворения В. Брюсова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Тень несозданных созданий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Колыхается 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 сне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Словно лопасти латаний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эмалевой стене.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Фиолетовые</w:t>
      </w:r>
      <w:proofErr w:type="gramEnd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рук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эмалевой стене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Полусонно 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чертят звуки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 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звонко-звучной тишине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Выявление черт символизма. Анализ стихотворения.</w:t>
      </w:r>
    </w:p>
    <w:p w:rsidR="000C1587" w:rsidRPr="000C1587" w:rsidRDefault="000C1587" w:rsidP="000C1587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Поэтика намёка и иносказания</w:t>
      </w:r>
    </w:p>
    <w:p w:rsidR="000C1587" w:rsidRPr="000C1587" w:rsidRDefault="000C1587" w:rsidP="000C1587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Эстетизация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смерти как бытийного начала</w:t>
      </w:r>
    </w:p>
    <w:p w:rsidR="000C1587" w:rsidRPr="000C1587" w:rsidRDefault="000C1587" w:rsidP="000C1587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Знаковое наполнение обыденных слов</w:t>
      </w:r>
    </w:p>
    <w:p w:rsidR="000C1587" w:rsidRPr="000C1587" w:rsidRDefault="000C1587" w:rsidP="000C1587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Стремление создать картину идеального мира, существующего по законам вечной красоты</w:t>
      </w:r>
    </w:p>
    <w:p w:rsidR="000C1587" w:rsidRPr="000C1587" w:rsidRDefault="000C1587" w:rsidP="000C1587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Отношение к слову как к шифру некой духовной тайнописи</w:t>
      </w:r>
    </w:p>
    <w:p w:rsidR="000C1587" w:rsidRPr="000C1587" w:rsidRDefault="000C1587" w:rsidP="000C1587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изысканная образность, музыкальность, лёгкость слога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Таков был московский символизм, который в 90-ые годы не хотели пускать в серьезные журналы. В северной столице обстояло немного по-другому.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Сообщени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е </w:t>
      </w: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 </w:t>
      </w:r>
      <w:proofErr w:type="spellStart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младосимволистах</w:t>
      </w:r>
      <w:proofErr w:type="spellEnd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начале 1900-е годов на литературной арене заявило о себе поколение “младших символистов”: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А.Белый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В.Иванов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А.А.Блок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Литературная ориентация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младосимволистов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сразу же оказалась несколько иной. Петербургский символизм не казался столь вызывающим, как московский. И символы были прозрачнее, и язык традиционнее, и “упадничество” не возводилось в доблесть. К началу XX в. даже предельно суровые критики должны были признать: символизм, сформировав величайшую культуру стиха, научил поэтов с равной уверенностью пользоваться старыми, классическими формами, внутренними созвучиями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концу 1900-х годов символистский лагерь заметно пополнился. Среди последователей выделялась “молодежь с исканиями”, которая “растаскивала” и тиражировала образцы “мэтров”. Символистская литература уже перестала быть чтением для немногих, она распространилась в широких кругах читающей публики и стала модным веянием. В 1910 г. критика уже открыто заговорила о “кризисе символизма”. Некоторые представители “новой поэзии” также склонны были считать, что направление исчерпало себя, “закончило круг своего развития”. 1910 г. вошел в историю русской поэзии “серебряного века” как год подведения итогов символизма и стал границей между двумя эпохами – символистской и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постсимволистской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 учащимся. Что нового внесли символисты в русскую литературу?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Сообщени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е </w:t>
      </w: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акмеистах. Между “земным” и “небесным”, между бытом и бытием.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19 декабря 1912 г. была впервые публично оглашена программа акмеизма. Произошло это в кабаре “Бродячая собака”, которое размещалось в подвальном этаже дома № 5 на Михайловской площади (ныне пл. Искусств). Процессы демократизации культуры, усиления ее “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карнавализации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“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богемности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” сопровождались активизацией интереса к “низу” культуры. На смену “надмирным” элитарным “башням” символизма пришли “подвалы”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постсимволистской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эпохи.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Значение термина “акмеизм” впервые было истолковано Н. Гумилевым в его рецензии на сборник С.М. Городецкого “Ива”. Этимологически слово восходит к греч</w:t>
      </w:r>
      <w:proofErr w:type="gram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</w:t>
      </w:r>
      <w:proofErr w:type="spellStart"/>
      <w:proofErr w:type="gram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кмэ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” - “высшая степень, расцвет”, или, как уточняет Гумилев, “расцвет всех духовных и физических сил”. Понятия зримого, осязаемого мира, культ конкретности, прославление вещи и ее имени – слово – вот в чем был 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акмеизм, и на этих принципах строилась акмеистическая поэтика. Естественно, что у каждого поэта эти черты получили свое индивидуальное преломление.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Чтение стихотворения </w:t>
      </w:r>
      <w:proofErr w:type="spellStart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А.Ахматовой</w:t>
      </w:r>
      <w:proofErr w:type="spellEnd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Вопрос учащимся. Какие особенности в лирике акмеистов вы почувствовали?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беспомощно грудь холодела,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шаги мои были легки.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 правую руку надела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Перчатку с левой руки.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Сообщение о футуризме. “Я сразу смазал карту </w:t>
      </w:r>
      <w:proofErr w:type="spellStart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будня</w:t>
      </w:r>
      <w:proofErr w:type="spellEnd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...”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Почти одновременно с акмеистами на литературной арене с большим шумом появились футуристы (от </w:t>
      </w:r>
      <w:proofErr w:type="gram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латинского</w:t>
      </w:r>
      <w:proofErr w:type="gram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futurum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будущее): Д.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Бурлюк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В.Хлебников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А. Крученых, В. Каменский и др. Они не принимали буржуазно – дворянского искусства, выступали против символизма и акмеизма и ставили своей задачей совершить “революцию в искусстве”. Но бунт футуристов против буржуазно – дворянской культуры был несостоятельным: они выступали за аполитичное, “свободное искусство”. Это роднило футуристов с представителями упадочного искусства. Сближало их и другое – стремлению к новаторству формы, насаждение формализма в искусстве, отказ от лучших завоеваний русской классической литературы. Своеобразной визитной карточкой футуристов стало короткое стихотворение </w:t>
      </w:r>
      <w:proofErr w:type="spellStart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В.Хлебникова</w:t>
      </w:r>
      <w:proofErr w:type="spellEnd"/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“Заклятие смехом. 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Чтение стихотворения. “</w:t>
      </w: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Бомбой”, брошенной футуристами в читателя, стала небольшая книжечка с дерзким заглавием “Пощечина общественному вкусу”, вышедшая в свет в 1912г. Атмосфера скандала сопровождала многочисленные публичные выступления участников этого движения. </w:t>
      </w: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Чтение стихотворения </w:t>
      </w:r>
      <w:proofErr w:type="spellStart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В.Маяковского</w:t>
      </w:r>
      <w:proofErr w:type="spellEnd"/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Вопрос учащимся. Какие интересные моменты в поэзии футуристов вы может отметить?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Подведение итогов. Выводы по уроку.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Что нового вы узнали о литературе серебряного века? С чем оно у вас ассоциируется? Подберите к нему символы, знаки и т.д.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мира Россия стала символом революции, в стране происходили глобальные перемены, гибель устоявшихся за века духовных ценностей и идеалов. Но за этой болью стоит и восторг Возрождения русской поэзии, новая жизнь, новые образы, новые имена – они вошли в сокровищницу русской и мировой литературы. В целом же “русская литература стала факелом, ярко святящим в самых темных углах русской национальной жизни. Но свет этого факела разлился далеко за пределами России; он озарил собой всю Европу”. Литература рубежа веков преподносит нам новые загадки и открытия, тем она и неисчерпаема, интересна. Наше тысячелетие, наше время... </w:t>
      </w:r>
    </w:p>
    <w:p w:rsidR="000C1587" w:rsidRPr="000C1587" w:rsidRDefault="000C1587" w:rsidP="000C158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</w:t>
      </w:r>
      <w:bookmarkStart w:id="0" w:name="_GoBack"/>
      <w:bookmarkEnd w:id="0"/>
      <w:r w:rsidRPr="000C158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адание</w:t>
      </w:r>
    </w:p>
    <w:p w:rsidR="000C1587" w:rsidRPr="000C1587" w:rsidRDefault="000C1587" w:rsidP="000C1587">
      <w:pPr>
        <w:numPr>
          <w:ilvl w:val="0"/>
          <w:numId w:val="8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Выпишите и прокомментируйте по статье Д. Мережковского «О причинах упадка и о новых течениях современной русской литературы» определения и творческие принципы символистов;</w:t>
      </w:r>
    </w:p>
    <w:p w:rsidR="000C1587" w:rsidRPr="000C1587" w:rsidRDefault="000C1587" w:rsidP="000C1587">
      <w:pPr>
        <w:numPr>
          <w:ilvl w:val="0"/>
          <w:numId w:val="9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Выпишите и прокомментируйте по статье Н. Гумилёва «Наследие символизма и акмеизма» его взгляды на сущность акмеизма.</w:t>
      </w:r>
    </w:p>
    <w:p w:rsidR="000C1587" w:rsidRPr="000C1587" w:rsidRDefault="000C1587" w:rsidP="000C1587">
      <w:pPr>
        <w:numPr>
          <w:ilvl w:val="0"/>
          <w:numId w:val="9"/>
        </w:num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15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Законспектируйте и проведите сравнительный анализ деклараций символизма Д. Мережковского, К. Бальмонта, В. Брюсова</w:t>
      </w:r>
    </w:p>
    <w:p w:rsidR="00F866AE" w:rsidRPr="00D80668" w:rsidRDefault="00F866AE" w:rsidP="000C1587">
      <w:pPr>
        <w:shd w:val="clear" w:color="auto" w:fill="FFFFFF"/>
        <w:spacing w:before="100" w:beforeAutospacing="1" w:after="300" w:line="240" w:lineRule="auto"/>
        <w:rPr>
          <w:rFonts w:asciiTheme="majorHAnsi" w:hAnsiTheme="majorHAnsi"/>
          <w:sz w:val="24"/>
          <w:szCs w:val="24"/>
        </w:rPr>
      </w:pPr>
    </w:p>
    <w:sectPr w:rsidR="00F866AE" w:rsidRPr="00D8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E5"/>
    <w:multiLevelType w:val="multilevel"/>
    <w:tmpl w:val="58A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6AE3"/>
    <w:multiLevelType w:val="multilevel"/>
    <w:tmpl w:val="905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2555"/>
    <w:multiLevelType w:val="multilevel"/>
    <w:tmpl w:val="F2B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3171"/>
    <w:multiLevelType w:val="multilevel"/>
    <w:tmpl w:val="E39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395C"/>
    <w:multiLevelType w:val="multilevel"/>
    <w:tmpl w:val="975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29F"/>
    <w:multiLevelType w:val="multilevel"/>
    <w:tmpl w:val="2D44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12E0"/>
    <w:multiLevelType w:val="multilevel"/>
    <w:tmpl w:val="C31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5DD9"/>
    <w:multiLevelType w:val="multilevel"/>
    <w:tmpl w:val="1DE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33A3"/>
    <w:multiLevelType w:val="multilevel"/>
    <w:tmpl w:val="40F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7F"/>
    <w:rsid w:val="000C1587"/>
    <w:rsid w:val="00D2537F"/>
    <w:rsid w:val="00D80668"/>
    <w:rsid w:val="00F708A7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1915_%25D0%25B3%25D0%25BE%25D0%25B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ru.wikipedia.org%2Fwiki%2F%25D0%259C%25D0%25B0%25D0%25BB%25D0%25B5%25D0%25B2%25D0%25B8%25D1%2587%2C_%25D0%259A%25D0%25B0%25D0%25B7%25D0%25B8%25D0%25BC%25D0%25B8%25D1%2580_%25D0%25A1%25D0%25B5%25D0%25B2%25D0%25B5%25D1%2580%25D0%25B8%25D0%25BD%25D0%25BE%25D0%25B2%25D0%25B8%25D1%2587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ic.academic.ru%2Fdic.nsf%2Fenc_philosophy%2F3615" TargetMode="External"/><Relationship Id="rId11" Type="http://schemas.openxmlformats.org/officeDocument/2006/relationships/hyperlink" Target="https://infourok.ru/go.html?href=https%3A%2F%2Fru.wikipedia.org%2Fwiki%2F%25D0%2598%25D1%2581%25D0%25BA%25D1%2583%25D1%2581%25D1%2581%25D1%2582%25D0%25B2%25D0%25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2209</Words>
  <Characters>12595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2022-02-09T11:40:00Z</dcterms:created>
  <dcterms:modified xsi:type="dcterms:W3CDTF">2022-05-02T16:49:00Z</dcterms:modified>
</cp:coreProperties>
</file>